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spacing w:before="0"/>
        <w:ind w:left="1943" w:right="0" w:firstLine="0"/>
        <w:jc w:val="left"/>
        <w:rPr>
          <w:rFonts w:ascii="Garamond"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914400</wp:posOffset>
            </wp:positionH>
            <wp:positionV relativeFrom="paragraph">
              <wp:posOffset>-867602</wp:posOffset>
            </wp:positionV>
            <wp:extent cx="1141616" cy="9561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616" cy="956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/>
          <w:color w:val="005439"/>
          <w:sz w:val="18"/>
        </w:rPr>
        <w:t>441</w:t>
      </w:r>
      <w:r>
        <w:rPr>
          <w:rFonts w:ascii="Garamond"/>
          <w:color w:val="005439"/>
          <w:spacing w:val="-3"/>
          <w:sz w:val="18"/>
        </w:rPr>
        <w:t> </w:t>
      </w:r>
      <w:r>
        <w:rPr>
          <w:rFonts w:ascii="Garamond"/>
          <w:color w:val="005439"/>
          <w:sz w:val="18"/>
        </w:rPr>
        <w:t>West</w:t>
      </w:r>
      <w:r>
        <w:rPr>
          <w:rFonts w:ascii="Garamond"/>
          <w:color w:val="005439"/>
          <w:spacing w:val="-2"/>
          <w:sz w:val="18"/>
        </w:rPr>
        <w:t> </w:t>
      </w:r>
      <w:r>
        <w:rPr>
          <w:rFonts w:ascii="Garamond"/>
          <w:color w:val="005439"/>
          <w:sz w:val="18"/>
        </w:rPr>
        <w:t>5th</w:t>
      </w:r>
      <w:r>
        <w:rPr>
          <w:rFonts w:ascii="Garamond"/>
          <w:color w:val="005439"/>
          <w:spacing w:val="-3"/>
          <w:sz w:val="18"/>
        </w:rPr>
        <w:t> </w:t>
      </w:r>
      <w:r>
        <w:rPr>
          <w:rFonts w:ascii="Garamond"/>
          <w:color w:val="005439"/>
          <w:sz w:val="18"/>
        </w:rPr>
        <w:t>Avenue,</w:t>
      </w:r>
      <w:r>
        <w:rPr>
          <w:rFonts w:ascii="Garamond"/>
          <w:color w:val="005439"/>
          <w:spacing w:val="-3"/>
          <w:sz w:val="18"/>
        </w:rPr>
        <w:t> </w:t>
      </w:r>
      <w:r>
        <w:rPr>
          <w:rFonts w:ascii="Garamond"/>
          <w:color w:val="005439"/>
          <w:sz w:val="18"/>
        </w:rPr>
        <w:t>Suite</w:t>
      </w:r>
      <w:r>
        <w:rPr>
          <w:rFonts w:ascii="Garamond"/>
          <w:color w:val="005439"/>
          <w:spacing w:val="-3"/>
          <w:sz w:val="18"/>
        </w:rPr>
        <w:t> </w:t>
      </w:r>
      <w:r>
        <w:rPr>
          <w:rFonts w:ascii="Garamond"/>
          <w:color w:val="005439"/>
          <w:sz w:val="18"/>
        </w:rPr>
        <w:t>302</w:t>
      </w:r>
      <w:r>
        <w:rPr>
          <w:rFonts w:ascii="Garamond"/>
          <w:color w:val="005439"/>
          <w:spacing w:val="-2"/>
          <w:sz w:val="18"/>
        </w:rPr>
        <w:t> </w:t>
      </w:r>
      <w:r>
        <w:rPr>
          <w:rFonts w:ascii="Garamond"/>
          <w:color w:val="005439"/>
          <w:sz w:val="18"/>
        </w:rPr>
        <w:t>|</w:t>
      </w:r>
      <w:r>
        <w:rPr>
          <w:rFonts w:ascii="Garamond"/>
          <w:color w:val="005439"/>
          <w:spacing w:val="-2"/>
          <w:sz w:val="18"/>
        </w:rPr>
        <w:t> </w:t>
      </w:r>
      <w:r>
        <w:rPr>
          <w:rFonts w:ascii="Garamond"/>
          <w:color w:val="005439"/>
          <w:sz w:val="18"/>
        </w:rPr>
        <w:t>Anchorage</w:t>
      </w:r>
      <w:r>
        <w:rPr>
          <w:rFonts w:ascii="Garamond"/>
          <w:color w:val="005439"/>
          <w:spacing w:val="-3"/>
          <w:sz w:val="18"/>
        </w:rPr>
        <w:t> </w:t>
      </w:r>
      <w:r>
        <w:rPr>
          <w:rFonts w:ascii="Garamond"/>
          <w:color w:val="005439"/>
          <w:sz w:val="18"/>
        </w:rPr>
        <w:t>Alaska</w:t>
      </w:r>
      <w:r>
        <w:rPr>
          <w:rFonts w:ascii="Garamond"/>
          <w:color w:val="005439"/>
          <w:spacing w:val="-4"/>
          <w:sz w:val="18"/>
        </w:rPr>
        <w:t> </w:t>
      </w:r>
      <w:r>
        <w:rPr>
          <w:rFonts w:ascii="Garamond"/>
          <w:color w:val="005439"/>
          <w:sz w:val="18"/>
        </w:rPr>
        <w:t>99501</w:t>
      </w:r>
      <w:r>
        <w:rPr>
          <w:rFonts w:ascii="Garamond"/>
          <w:color w:val="005439"/>
          <w:spacing w:val="-2"/>
          <w:sz w:val="18"/>
        </w:rPr>
        <w:t> </w:t>
      </w:r>
      <w:r>
        <w:rPr>
          <w:rFonts w:ascii="Garamond"/>
          <w:color w:val="005439"/>
          <w:sz w:val="18"/>
        </w:rPr>
        <w:t>|</w:t>
      </w:r>
      <w:r>
        <w:rPr>
          <w:rFonts w:ascii="Garamond"/>
          <w:color w:val="005439"/>
          <w:spacing w:val="-1"/>
          <w:sz w:val="18"/>
        </w:rPr>
        <w:t> </w:t>
      </w:r>
      <w:r>
        <w:rPr>
          <w:rFonts w:ascii="Garamond"/>
          <w:color w:val="005439"/>
          <w:sz w:val="18"/>
        </w:rPr>
        <w:t>tel</w:t>
      </w:r>
      <w:r>
        <w:rPr>
          <w:rFonts w:ascii="Garamond"/>
          <w:color w:val="005439"/>
          <w:spacing w:val="-3"/>
          <w:sz w:val="18"/>
        </w:rPr>
        <w:t> </w:t>
      </w:r>
      <w:r>
        <w:rPr>
          <w:rFonts w:ascii="Garamond"/>
          <w:color w:val="005439"/>
          <w:sz w:val="18"/>
        </w:rPr>
        <w:t>907.276.9453</w:t>
      </w:r>
      <w:r>
        <w:rPr>
          <w:rFonts w:ascii="Garamond"/>
          <w:color w:val="005439"/>
          <w:spacing w:val="-3"/>
          <w:sz w:val="18"/>
        </w:rPr>
        <w:t> </w:t>
      </w:r>
      <w:r>
        <w:rPr>
          <w:rFonts w:ascii="Garamond"/>
          <w:color w:val="005439"/>
          <w:sz w:val="18"/>
        </w:rPr>
        <w:t>|</w:t>
      </w:r>
      <w:r>
        <w:rPr>
          <w:rFonts w:ascii="Garamond"/>
          <w:color w:val="005439"/>
          <w:spacing w:val="-1"/>
          <w:sz w:val="18"/>
        </w:rPr>
        <w:t> </w:t>
      </w:r>
      <w:r>
        <w:rPr>
          <w:rFonts w:ascii="Garamond"/>
          <w:color w:val="005439"/>
          <w:sz w:val="18"/>
        </w:rPr>
        <w:t>fax</w:t>
      </w:r>
      <w:r>
        <w:rPr>
          <w:rFonts w:ascii="Garamond"/>
          <w:color w:val="005439"/>
          <w:spacing w:val="-3"/>
          <w:sz w:val="18"/>
        </w:rPr>
        <w:t> </w:t>
      </w:r>
      <w:r>
        <w:rPr>
          <w:rFonts w:ascii="Garamond"/>
          <w:color w:val="005439"/>
          <w:sz w:val="18"/>
        </w:rPr>
        <w:t>907.276.9454</w:t>
      </w:r>
    </w:p>
    <w:p>
      <w:pPr>
        <w:spacing w:before="1"/>
        <w:ind w:left="1900" w:right="0" w:firstLine="0"/>
        <w:jc w:val="left"/>
        <w:rPr>
          <w:rFonts w:ascii="Garamond"/>
          <w:b/>
          <w:sz w:val="18"/>
        </w:rPr>
      </w:pPr>
      <w:hyperlink r:id="rId7">
        <w:r>
          <w:rPr>
            <w:rFonts w:ascii="Garamond"/>
            <w:b/>
            <w:color w:val="005439"/>
            <w:sz w:val="18"/>
          </w:rPr>
          <w:t>www.defenders.org</w:t>
        </w:r>
      </w:hyperlink>
    </w:p>
    <w:p>
      <w:pPr>
        <w:pStyle w:val="BodyText"/>
        <w:spacing w:before="10"/>
        <w:ind w:left="0"/>
        <w:rPr>
          <w:rFonts w:ascii="Garamond"/>
          <w:b/>
          <w:sz w:val="23"/>
        </w:rPr>
      </w:pPr>
    </w:p>
    <w:p>
      <w:pPr>
        <w:pStyle w:val="BodyText"/>
        <w:spacing w:before="90"/>
      </w:pPr>
      <w:r>
        <w:rPr/>
        <w:t>January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182"/>
      </w:pPr>
      <w:r>
        <w:rPr/>
        <w:t>Bureau</w:t>
      </w:r>
      <w:r>
        <w:rPr>
          <w:spacing w:val="-1"/>
        </w:rPr>
        <w:t> </w:t>
      </w:r>
      <w:r>
        <w:rPr/>
        <w:t>of Land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1"/>
        <w:ind w:right="6100"/>
      </w:pPr>
      <w:r>
        <w:rPr/>
        <w:t>East Alaska RMP Amendment/EA</w:t>
      </w:r>
      <w:r>
        <w:rPr>
          <w:spacing w:val="-57"/>
        </w:rPr>
        <w:t> </w:t>
      </w:r>
      <w:r>
        <w:rPr/>
        <w:t>222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7th Ave., Stop 13,</w:t>
      </w:r>
    </w:p>
    <w:p>
      <w:pPr>
        <w:pStyle w:val="BodyText"/>
      </w:pPr>
      <w:r>
        <w:rPr/>
        <w:t>Anchorage,</w:t>
      </w:r>
      <w:r>
        <w:rPr>
          <w:spacing w:val="-1"/>
        </w:rPr>
        <w:t> </w:t>
      </w:r>
      <w:r>
        <w:rPr/>
        <w:t>Alaska</w:t>
      </w:r>
      <w:r>
        <w:rPr>
          <w:spacing w:val="-2"/>
        </w:rPr>
        <w:t> </w:t>
      </w:r>
      <w:r>
        <w:rPr/>
        <w:t>99513</w:t>
      </w:r>
    </w:p>
    <w:p>
      <w:pPr>
        <w:pStyle w:val="BodyText"/>
        <w:ind w:left="0"/>
      </w:pPr>
    </w:p>
    <w:p>
      <w:pPr>
        <w:pStyle w:val="Title"/>
        <w:tabs>
          <w:tab w:pos="820" w:val="left" w:leader="none"/>
        </w:tabs>
      </w:pPr>
      <w:r>
        <w:rPr>
          <w:b w:val="0"/>
        </w:rPr>
        <w:t>Re:</w:t>
        <w:tab/>
      </w:r>
      <w:r>
        <w:rPr/>
        <w:t>Notice of Intent To Amend the 2007 East Alaska Resource Management Plan and</w:t>
      </w:r>
      <w:r>
        <w:rPr>
          <w:spacing w:val="-57"/>
        </w:rPr>
        <w:t> </w:t>
      </w:r>
      <w:r>
        <w:rPr/>
        <w:t>Prepare the</w:t>
      </w:r>
      <w:r>
        <w:rPr>
          <w:spacing w:val="-1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Environmental Assessment</w:t>
      </w:r>
    </w:p>
    <w:p>
      <w:pPr>
        <w:pStyle w:val="BodyText"/>
        <w:ind w:left="0"/>
        <w:rPr>
          <w:b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Submitted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website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/>
        <w:t>Dear</w:t>
      </w:r>
      <w:r>
        <w:rPr>
          <w:spacing w:val="-2"/>
        </w:rPr>
        <w:t> </w:t>
      </w:r>
      <w:r>
        <w:rPr/>
        <w:t>BLM,</w:t>
      </w:r>
    </w:p>
    <w:p>
      <w:pPr>
        <w:pStyle w:val="BodyText"/>
        <w:spacing w:line="259" w:lineRule="auto" w:before="180"/>
      </w:pPr>
      <w:r>
        <w:rPr/>
        <w:t>Established in 1947, Defenders of Wildlife is a national nonprofit conservation organization</w:t>
      </w:r>
      <w:r>
        <w:rPr>
          <w:spacing w:val="1"/>
        </w:rPr>
        <w:t> </w:t>
      </w:r>
      <w:r>
        <w:rPr/>
        <w:t>dedicated to the protection of flora and fauna in its native habitat. Defenders has 1.8 million</w:t>
      </w:r>
      <w:r>
        <w:rPr>
          <w:spacing w:val="1"/>
        </w:rPr>
        <w:t> </w:t>
      </w:r>
      <w:r>
        <w:rPr/>
        <w:t>members and supporters nationwide, including over 6000 in Alaska. Headquartered in</w:t>
      </w:r>
      <w:r>
        <w:rPr>
          <w:spacing w:val="1"/>
        </w:rPr>
        <w:t> </w:t>
      </w:r>
      <w:r>
        <w:rPr/>
        <w:t>Washington, D.C., Defenders has regional field offices throughout the country, including one in</w:t>
      </w:r>
      <w:r>
        <w:rPr>
          <w:spacing w:val="1"/>
        </w:rPr>
        <w:t> </w:t>
      </w:r>
      <w:r>
        <w:rPr/>
        <w:t>Anchorage,</w:t>
      </w:r>
      <w:r>
        <w:rPr>
          <w:spacing w:val="-2"/>
        </w:rPr>
        <w:t> </w:t>
      </w:r>
      <w:r>
        <w:rPr/>
        <w:t>Alaska. We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advocated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conservation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wildlife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habitat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Alaska’s</w:t>
      </w:r>
      <w:r>
        <w:rPr>
          <w:spacing w:val="-57"/>
        </w:rPr>
        <w:t> </w:t>
      </w:r>
      <w:r>
        <w:rPr/>
        <w:t>public lands, including BLM and national forest system lands. Defenders appreciates this</w:t>
      </w:r>
      <w:r>
        <w:rPr>
          <w:spacing w:val="1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 comment on the above-referenced</w:t>
      </w:r>
      <w:r>
        <w:rPr>
          <w:spacing w:val="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Intent (NOI).</w:t>
      </w:r>
    </w:p>
    <w:p>
      <w:pPr>
        <w:pStyle w:val="BodyText"/>
        <w:spacing w:line="259" w:lineRule="auto" w:before="161"/>
        <w:ind w:right="263"/>
      </w:pPr>
      <w:r>
        <w:rPr/>
        <w:t>The NOI is confusing and requires greater explanation. It states that the proposed Resource</w:t>
      </w:r>
      <w:r>
        <w:rPr>
          <w:spacing w:val="1"/>
        </w:rPr>
        <w:t> </w:t>
      </w:r>
      <w:r>
        <w:rPr/>
        <w:t>Management Plan (RMP) amendment “would analyze making additional lands near Thompson</w:t>
      </w:r>
      <w:r>
        <w:rPr>
          <w:spacing w:val="-57"/>
        </w:rPr>
        <w:t> </w:t>
      </w:r>
      <w:r>
        <w:rPr/>
        <w:t>Pass available for potential exchanges in accordance with the Dingell Act.” But the Dingell Act</w:t>
      </w:r>
      <w:r>
        <w:rPr>
          <w:spacing w:val="-57"/>
        </w:rPr>
        <w:t> </w:t>
      </w:r>
      <w:r>
        <w:rPr/>
        <w:t>requires a study, not a land exchange or RMP amendment. Congress directed completion of the</w:t>
      </w:r>
      <w:r>
        <w:rPr>
          <w:spacing w:val="-57"/>
        </w:rPr>
        <w:t> </w:t>
      </w:r>
      <w:r>
        <w:rPr/>
        <w:t>study by September 2020. Has the study been completed? There is no mention of it in the</w:t>
      </w:r>
      <w:r>
        <w:rPr>
          <w:spacing w:val="1"/>
        </w:rPr>
        <w:t> </w:t>
      </w:r>
      <w:r>
        <w:rPr/>
        <w:t>scoping notice and its completion should be the predicate for any subsequent action. The</w:t>
      </w:r>
      <w:r>
        <w:rPr>
          <w:spacing w:val="1"/>
        </w:rPr>
        <w:t> </w:t>
      </w:r>
      <w:r>
        <w:rPr/>
        <w:t>potential reason to pursue a future land exchange appears to be economic and social impacts of</w:t>
      </w:r>
      <w:r>
        <w:rPr>
          <w:spacing w:val="-57"/>
        </w:rPr>
        <w:t> </w:t>
      </w:r>
      <w:r>
        <w:rPr/>
        <w:t>the EVOS TC Habitat Acquisition program (“program”), but until the study is complete that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reason has not been</w:t>
      </w:r>
      <w:r>
        <w:rPr>
          <w:spacing w:val="1"/>
        </w:rPr>
        <w:t> </w:t>
      </w:r>
      <w:r>
        <w:rPr/>
        <w:t>explored or</w:t>
      </w:r>
      <w:r>
        <w:rPr>
          <w:spacing w:val="-1"/>
        </w:rPr>
        <w:t> </w:t>
      </w:r>
      <w:r>
        <w:rPr/>
        <w:t>established.</w:t>
      </w:r>
    </w:p>
    <w:p>
      <w:pPr>
        <w:pStyle w:val="BodyText"/>
        <w:spacing w:line="259" w:lineRule="auto" w:before="157"/>
        <w:ind w:right="95"/>
      </w:pPr>
      <w:r>
        <w:rPr/>
        <w:t>With no study in hand, BLM not only proposes to amend the East AK RMP but identifies two</w:t>
      </w:r>
      <w:r>
        <w:rPr>
          <w:spacing w:val="1"/>
        </w:rPr>
        <w:t> </w:t>
      </w:r>
      <w:r>
        <w:rPr/>
        <w:t>specific parcels for potential exchange for unidentified CAC lands. This is premature and</w:t>
      </w:r>
      <w:r>
        <w:rPr>
          <w:spacing w:val="1"/>
        </w:rPr>
        <w:t> </w:t>
      </w:r>
      <w:r>
        <w:rPr/>
        <w:t>inappropriate. BLM should complete the required study and should not be proposing any specific</w:t>
      </w:r>
      <w:r>
        <w:rPr>
          <w:spacing w:val="-57"/>
        </w:rPr>
        <w:t> </w:t>
      </w:r>
      <w:r>
        <w:rPr/>
        <w:t>land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or amending any land management</w:t>
      </w:r>
      <w:r>
        <w:rPr>
          <w:spacing w:val="2"/>
        </w:rPr>
        <w:t> </w:t>
      </w:r>
      <w:r>
        <w:rPr/>
        <w:t>plan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this point.</w:t>
      </w:r>
    </w:p>
    <w:p>
      <w:pPr>
        <w:spacing w:after="0" w:line="259" w:lineRule="auto"/>
        <w:sectPr>
          <w:footerReference w:type="default" r:id="rId5"/>
          <w:type w:val="continuous"/>
          <w:pgSz w:w="12240" w:h="15840"/>
          <w:pgMar w:footer="1012" w:header="0" w:top="1440" w:bottom="1200" w:left="1340" w:right="1340"/>
          <w:pgNumType w:start="1"/>
        </w:sectPr>
      </w:pPr>
    </w:p>
    <w:p>
      <w:pPr>
        <w:pStyle w:val="BodyText"/>
        <w:spacing w:before="79"/>
      </w:pPr>
      <w:r>
        <w:rPr>
          <w:u w:val="single"/>
        </w:rPr>
        <w:t>Dingell</w:t>
      </w:r>
      <w:r>
        <w:rPr>
          <w:spacing w:val="-2"/>
          <w:u w:val="single"/>
        </w:rPr>
        <w:t> </w:t>
      </w:r>
      <w:r>
        <w:rPr>
          <w:u w:val="single"/>
        </w:rPr>
        <w:t>Act</w:t>
      </w:r>
    </w:p>
    <w:p>
      <w:pPr>
        <w:pStyle w:val="BodyText"/>
        <w:spacing w:line="259" w:lineRule="auto" w:before="183"/>
        <w:ind w:right="240"/>
      </w:pPr>
      <w:r>
        <w:rPr/>
        <w:t>Section 1113 of the Dingell Act is entitled “Chugach Region Land Study.” It requires the</w:t>
      </w:r>
      <w:r>
        <w:rPr>
          <w:spacing w:val="1"/>
        </w:rPr>
        <w:t> </w:t>
      </w:r>
      <w:r>
        <w:rPr/>
        <w:t>Secretary to prepare a </w:t>
      </w:r>
      <w:r>
        <w:rPr>
          <w:u w:val="single"/>
        </w:rPr>
        <w:t>study </w:t>
      </w:r>
      <w:r>
        <w:rPr/>
        <w:t>that assesses the social and economic impacts of the program and</w:t>
      </w:r>
      <w:r>
        <w:rPr>
          <w:spacing w:val="1"/>
        </w:rPr>
        <w:t> </w:t>
      </w:r>
      <w:r>
        <w:rPr/>
        <w:t>identifies</w:t>
      </w:r>
      <w:r>
        <w:rPr>
          <w:spacing w:val="-3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acres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economically</w:t>
      </w:r>
      <w:r>
        <w:rPr>
          <w:spacing w:val="-2"/>
        </w:rPr>
        <w:t> </w:t>
      </w:r>
      <w:r>
        <w:rPr/>
        <w:t>viable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offered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CAC land identified by CAC as</w:t>
      </w:r>
      <w:r>
        <w:rPr>
          <w:spacing w:val="-1"/>
        </w:rPr>
        <w:t> </w:t>
      </w:r>
      <w:r>
        <w:rPr/>
        <w:t>available for</w:t>
      </w:r>
      <w:r>
        <w:rPr>
          <w:spacing w:val="1"/>
        </w:rPr>
        <w:t> </w:t>
      </w:r>
      <w:r>
        <w:rPr/>
        <w:t>exchange.</w:t>
      </w:r>
    </w:p>
    <w:p>
      <w:pPr>
        <w:pStyle w:val="BodyText"/>
        <w:spacing w:line="259" w:lineRule="auto" w:before="159"/>
        <w:ind w:right="142"/>
      </w:pPr>
      <w:r>
        <w:rPr/>
        <w:t>The NOI states that “pursuant to Sec. 1113 of the Dingell Act, the BLM is to identify ‘accessible</w:t>
      </w:r>
      <w:r>
        <w:rPr>
          <w:spacing w:val="-57"/>
        </w:rPr>
        <w:t> </w:t>
      </w:r>
      <w:r>
        <w:rPr/>
        <w:t>and economically viable Federal land’ within the Chugach Region that can be offered in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those lands</w:t>
      </w:r>
      <w:r>
        <w:rPr>
          <w:spacing w:val="1"/>
        </w:rPr>
        <w:t> </w:t>
      </w:r>
      <w:r>
        <w:rPr/>
        <w:t>acquired through the</w:t>
      </w:r>
      <w:r>
        <w:rPr>
          <w:spacing w:val="-2"/>
        </w:rPr>
        <w:t> </w:t>
      </w:r>
      <w:r>
        <w:rPr/>
        <w:t>EVOSTC Habitat Acquisition Program.”</w:t>
      </w:r>
    </w:p>
    <w:p>
      <w:pPr>
        <w:pStyle w:val="BodyText"/>
        <w:spacing w:line="259" w:lineRule="auto" w:before="160"/>
        <w:ind w:right="97"/>
      </w:pPr>
      <w:r>
        <w:rPr/>
        <w:t>That is incorrect and puzzling. As noted, the Dingell Act only directs preparation of a study.</w:t>
      </w:r>
      <w:r>
        <w:rPr>
          <w:spacing w:val="1"/>
        </w:rPr>
        <w:t> </w:t>
      </w:r>
      <w:r>
        <w:rPr/>
        <w:t>Preparing that study does not necessitate this NOI, or an amendment to the RMP. No lands are</w:t>
      </w:r>
      <w:r>
        <w:rPr>
          <w:spacing w:val="1"/>
        </w:rPr>
        <w:t> </w:t>
      </w:r>
      <w:r>
        <w:rPr/>
        <w:t>directed to be exchanged, and if any federal lands are recommended for potential exchange in the</w:t>
      </w:r>
      <w:r>
        <w:rPr>
          <w:spacing w:val="-57"/>
        </w:rPr>
        <w:t> </w:t>
      </w:r>
      <w:r>
        <w:rPr/>
        <w:t>future,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lands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not be</w:t>
      </w:r>
      <w:r>
        <w:rPr>
          <w:spacing w:val="-1"/>
        </w:rPr>
        <w:t> </w:t>
      </w:r>
      <w:r>
        <w:rPr/>
        <w:t>offered in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lands acquired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259" w:lineRule="auto"/>
        <w:ind w:right="356"/>
      </w:pPr>
      <w:r>
        <w:rPr/>
        <w:t>Instead, they would be offered in exchange for CAC land that CAC makes available for such a</w:t>
      </w:r>
      <w:r>
        <w:rPr>
          <w:spacing w:val="-58"/>
        </w:rPr>
        <w:t> </w:t>
      </w:r>
      <w:r>
        <w:rPr/>
        <w:t>trade.</w:t>
      </w:r>
    </w:p>
    <w:p>
      <w:pPr>
        <w:pStyle w:val="BodyText"/>
        <w:spacing w:line="259" w:lineRule="auto" w:before="158"/>
        <w:ind w:right="149"/>
      </w:pPr>
      <w:r>
        <w:rPr/>
        <w:t>The study is supposed to assess the impacts of previous program land exchange or easement</w:t>
      </w:r>
      <w:r>
        <w:rPr>
          <w:spacing w:val="1"/>
        </w:rPr>
        <w:t> </w:t>
      </w:r>
      <w:r>
        <w:rPr/>
        <w:t>transactions that CAC decided to pursue but the lands involved in those earlier transactions</w:t>
      </w:r>
      <w:r>
        <w:rPr>
          <w:spacing w:val="1"/>
        </w:rPr>
        <w:t> </w:t>
      </w:r>
      <w:r>
        <w:rPr/>
        <w:t>aren’t directed to be part of any future land exchange. Presumably CAC received compensation</w:t>
      </w:r>
      <w:r>
        <w:rPr>
          <w:spacing w:val="1"/>
        </w:rPr>
        <w:t> </w:t>
      </w:r>
      <w:r>
        <w:rPr/>
        <w:t>as part of any such prior land exchange or easement. Before proposing any actions beyond</w:t>
      </w:r>
      <w:r>
        <w:rPr>
          <w:spacing w:val="1"/>
        </w:rPr>
        <w:t> </w:t>
      </w:r>
      <w:r>
        <w:rPr/>
        <w:t>completing the required study, BLM should explain why or how CAC’s prior land management</w:t>
      </w:r>
      <w:r>
        <w:rPr>
          <w:spacing w:val="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new land</w:t>
      </w:r>
      <w:r>
        <w:rPr>
          <w:spacing w:val="1"/>
        </w:rPr>
        <w:t> </w:t>
      </w:r>
      <w:r>
        <w:rPr/>
        <w:t>exchanges appropriate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otherwise 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proposed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before="158"/>
      </w:pPr>
      <w:r>
        <w:rPr>
          <w:u w:val="single"/>
        </w:rPr>
        <w:t>NEPA</w:t>
      </w:r>
    </w:p>
    <w:p>
      <w:pPr>
        <w:pStyle w:val="BodyText"/>
        <w:spacing w:line="259" w:lineRule="auto" w:before="183"/>
        <w:ind w:right="169"/>
      </w:pPr>
      <w:r>
        <w:rPr/>
        <w:t>If, after completion of the required study, BLM seeks to pursue a land exchange with CAC, the</w:t>
      </w:r>
      <w:r>
        <w:rPr>
          <w:spacing w:val="1"/>
        </w:rPr>
        <w:t> </w:t>
      </w:r>
      <w:r>
        <w:rPr/>
        <w:t>study should be shared with the public and should inform the NEPA scoping process. Since it</w:t>
      </w:r>
      <w:r>
        <w:rPr>
          <w:spacing w:val="1"/>
        </w:rPr>
        <w:t> </w:t>
      </w:r>
      <w:r>
        <w:rPr/>
        <w:t>will both assess the impacts of prior land transactions under the program and identify federal</w:t>
      </w:r>
      <w:r>
        <w:rPr>
          <w:spacing w:val="1"/>
        </w:rPr>
        <w:t> </w:t>
      </w:r>
      <w:r>
        <w:rPr/>
        <w:t>lands that could be offered in exchange for CAC lands, the public would be able to express an</w:t>
      </w:r>
      <w:r>
        <w:rPr>
          <w:spacing w:val="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rationale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exchange in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applicable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parcels to be</w:t>
      </w:r>
      <w:r>
        <w:rPr>
          <w:spacing w:val="1"/>
        </w:rPr>
        <w:t> </w:t>
      </w:r>
      <w:r>
        <w:rPr/>
        <w:t>exchanged.</w:t>
      </w:r>
    </w:p>
    <w:p>
      <w:pPr>
        <w:pStyle w:val="BodyText"/>
        <w:spacing w:line="259" w:lineRule="auto" w:before="158"/>
        <w:ind w:right="149"/>
      </w:pPr>
      <w:r>
        <w:rPr/>
        <w:t>BLM states that a RMP amendment and EA will follow. If so, then that EA should address</w:t>
      </w:r>
      <w:r>
        <w:rPr>
          <w:spacing w:val="1"/>
        </w:rPr>
        <w:t> </w:t>
      </w:r>
      <w:r>
        <w:rPr/>
        <w:t>whether an EIS is necessary. Given potentially significant economic value of the specific parcels</w:t>
      </w:r>
      <w:r>
        <w:rPr>
          <w:spacing w:val="-58"/>
        </w:rPr>
        <w:t> </w:t>
      </w:r>
      <w:r>
        <w:rPr/>
        <w:t>that BLM has prematurely identified for exchange, the high recreational use and public</w:t>
      </w:r>
      <w:r>
        <w:rPr>
          <w:spacing w:val="1"/>
        </w:rPr>
        <w:t> </w:t>
      </w:r>
      <w:r>
        <w:rPr/>
        <w:t>importance of those lands, and the impacts on recreators and other members of the public from</w:t>
      </w:r>
      <w:r>
        <w:rPr>
          <w:spacing w:val="1"/>
        </w:rPr>
        <w:t> </w:t>
      </w:r>
      <w:r>
        <w:rPr/>
        <w:t>privatizing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lands, an EIS appears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NEPA</w:t>
      </w:r>
      <w:r>
        <w:rPr>
          <w:spacing w:val="1"/>
        </w:rPr>
        <w:t> </w:t>
      </w:r>
      <w:r>
        <w:rPr/>
        <w:t>document.</w:t>
      </w:r>
    </w:p>
    <w:p>
      <w:pPr>
        <w:pStyle w:val="BodyText"/>
        <w:spacing w:line="259" w:lineRule="auto" w:before="159"/>
        <w:ind w:right="285"/>
      </w:pPr>
      <w:r>
        <w:rPr/>
        <w:t>Whatever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takes,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NEPA</w:t>
      </w:r>
      <w:r>
        <w:rPr>
          <w:spacing w:val="-1"/>
        </w:rPr>
        <w:t> </w:t>
      </w:r>
      <w:r>
        <w:rPr/>
        <w:t>analysis should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recreational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existing</w:t>
      </w:r>
      <w:r>
        <w:rPr>
          <w:spacing w:val="-57"/>
        </w:rPr>
        <w:t> </w:t>
      </w:r>
      <w:r>
        <w:rPr/>
        <w:t>uses of the tracts identified in the study for potential exchange (not just the specific tracts</w:t>
      </w:r>
      <w:r>
        <w:rPr>
          <w:spacing w:val="1"/>
        </w:rPr>
        <w:t> </w:t>
      </w:r>
      <w:r>
        <w:rPr/>
        <w:t>identified in the NOI), the benefits and environmental impacts of retaining them in public</w:t>
      </w:r>
      <w:r>
        <w:rPr>
          <w:spacing w:val="1"/>
        </w:rPr>
        <w:t> </w:t>
      </w:r>
      <w:r>
        <w:rPr/>
        <w:t>ownership versus privatization, and the benefits and impacts of taking currently-private lands</w:t>
      </w:r>
      <w:r>
        <w:rPr>
          <w:spacing w:val="1"/>
        </w:rPr>
        <w:t> </w:t>
      </w:r>
      <w:r>
        <w:rPr/>
        <w:t>into public ownership. That is, the preliminary issues identified in the NOI (Recreational</w:t>
      </w:r>
      <w:r>
        <w:rPr>
          <w:spacing w:val="1"/>
        </w:rPr>
        <w:t> </w:t>
      </w:r>
      <w:r>
        <w:rPr/>
        <w:t>activities, social and economic impacts, rural and traditional lifestyles, subsistence use and</w:t>
      </w:r>
      <w:r>
        <w:rPr>
          <w:spacing w:val="1"/>
        </w:rPr>
        <w:t> </w:t>
      </w:r>
      <w:r>
        <w:rPr/>
        <w:t>access,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access,</w:t>
      </w:r>
      <w:r>
        <w:rPr>
          <w:spacing w:val="-1"/>
        </w:rPr>
        <w:t> </w:t>
      </w:r>
      <w:r>
        <w:rPr/>
        <w:t>wildlife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resources,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status species,</w:t>
      </w:r>
      <w:r>
        <w:rPr>
          <w:spacing w:val="-1"/>
        </w:rPr>
        <w:t> </w:t>
      </w:r>
      <w:r>
        <w:rPr/>
        <w:t>fish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aquatic</w:t>
      </w:r>
    </w:p>
    <w:p>
      <w:pPr>
        <w:spacing w:after="0" w:line="259" w:lineRule="auto"/>
        <w:sectPr>
          <w:pgSz w:w="12240" w:h="15840"/>
          <w:pgMar w:header="0" w:footer="1012" w:top="1360" w:bottom="1200" w:left="1340" w:right="1340"/>
        </w:sectPr>
      </w:pPr>
    </w:p>
    <w:p>
      <w:pPr>
        <w:pStyle w:val="BodyText"/>
        <w:spacing w:line="259" w:lineRule="auto" w:before="79"/>
        <w:ind w:right="411"/>
        <w:jc w:val="both"/>
      </w:pPr>
      <w:r>
        <w:rPr/>
        <w:t>species, water, wilderness characteristics, cultural resources and reasonably foreseeable future</w:t>
      </w:r>
      <w:r>
        <w:rPr>
          <w:spacing w:val="-57"/>
        </w:rPr>
        <w:t> </w:t>
      </w:r>
      <w:r>
        <w:rPr/>
        <w:t>activities) should apply to a range of federal lands for potential exchange, not just</w:t>
      </w:r>
      <w:r>
        <w:rPr>
          <w:spacing w:val="1"/>
        </w:rPr>
        <w:t> </w:t>
      </w:r>
      <w:r>
        <w:rPr/>
        <w:t>– assuming</w:t>
      </w:r>
      <w:r>
        <w:rPr>
          <w:spacing w:val="-57"/>
        </w:rPr>
        <w:t> </w:t>
      </w:r>
      <w:r>
        <w:rPr/>
        <w:t>any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is deemed</w:t>
      </w:r>
      <w:r>
        <w:rPr>
          <w:spacing w:val="2"/>
        </w:rPr>
        <w:t> </w:t>
      </w:r>
      <w:r>
        <w:rPr/>
        <w:t>appropriate.</w:t>
      </w:r>
    </w:p>
    <w:p>
      <w:pPr>
        <w:pStyle w:val="BodyText"/>
        <w:spacing w:line="259" w:lineRule="auto" w:before="160"/>
        <w:ind w:right="236"/>
      </w:pPr>
      <w:r>
        <w:rPr/>
        <w:t>BLM must also analyze the applicable local, state and federal land management plans and other</w:t>
      </w:r>
      <w:r>
        <w:rPr>
          <w:spacing w:val="-57"/>
        </w:rPr>
        <w:t> </w:t>
      </w:r>
      <w:r>
        <w:rPr/>
        <w:t>laws and provide the legal basis and factual rationale for pursuing any particular land exchange.</w:t>
      </w:r>
      <w:r>
        <w:rPr>
          <w:spacing w:val="-58"/>
        </w:rPr>
        <w:t> </w:t>
      </w:r>
      <w:r>
        <w:rPr/>
        <w:t>Since the study is directed to be prepared in coordination with the Secretary of Agriculture, the</w:t>
      </w:r>
      <w:r>
        <w:rPr>
          <w:spacing w:val="1"/>
        </w:rPr>
        <w:t> </w:t>
      </w:r>
      <w:r>
        <w:rPr/>
        <w:t>NEPA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should reflect</w:t>
      </w:r>
      <w:r>
        <w:rPr>
          <w:spacing w:val="2"/>
        </w:rPr>
        <w:t> </w:t>
      </w:r>
      <w:r>
        <w:rPr/>
        <w:t>that coordination.</w:t>
      </w:r>
    </w:p>
    <w:p>
      <w:pPr>
        <w:pStyle w:val="BodyText"/>
        <w:spacing w:line="259" w:lineRule="auto" w:before="159"/>
        <w:ind w:right="98"/>
      </w:pPr>
      <w:r>
        <w:rPr/>
        <w:t>In short, BLM has apparently failed to publish the study that the Dingell Act directed it to</w:t>
      </w:r>
      <w:r>
        <w:rPr>
          <w:spacing w:val="1"/>
        </w:rPr>
        <w:t> </w:t>
      </w:r>
      <w:r>
        <w:rPr/>
        <w:t>publish. Claiming to implement the Dingell Act, it has instead proposed an RMP amendment that</w:t>
      </w:r>
      <w:r>
        <w:rPr>
          <w:spacing w:val="-57"/>
        </w:rPr>
        <w:t> </w:t>
      </w:r>
      <w:r>
        <w:rPr/>
        <w:t>the</w:t>
      </w:r>
      <w:r>
        <w:rPr>
          <w:spacing w:val="2"/>
        </w:rPr>
        <w:t> </w:t>
      </w:r>
      <w:r>
        <w:rPr/>
        <w:t>Act</w:t>
      </w:r>
      <w:r>
        <w:rPr>
          <w:spacing w:val="4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direct,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facilitate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exchange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specific</w:t>
      </w:r>
      <w:r>
        <w:rPr>
          <w:spacing w:val="2"/>
        </w:rPr>
        <w:t> </w:t>
      </w:r>
      <w:r>
        <w:rPr/>
        <w:t>parcels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currently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 for exchange. Because there is no study, there is no basis to conclude that any land</w:t>
      </w:r>
      <w:r>
        <w:rPr>
          <w:spacing w:val="1"/>
        </w:rPr>
        <w:t> </w:t>
      </w:r>
      <w:r>
        <w:rPr/>
        <w:t>exchange with CAC is appropriate, and even if it were deemed appropriate, there is no</w:t>
      </w:r>
      <w:r>
        <w:rPr>
          <w:spacing w:val="1"/>
        </w:rPr>
        <w:t> </w:t>
      </w:r>
      <w:r>
        <w:rPr/>
        <w:t>assessment of potentially available lands to inform the choice of specific parcels. There is also no</w:t>
      </w:r>
      <w:r>
        <w:rPr>
          <w:spacing w:val="-57"/>
        </w:rPr>
        <w:t> </w:t>
      </w:r>
      <w:r>
        <w:rPr/>
        <w:t>hint of what CAC lands may transfer to public ownership and thus no way to begin to evaluate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 of</w:t>
      </w:r>
      <w:r>
        <w:rPr>
          <w:spacing w:val="-1"/>
        </w:rPr>
        <w:t> </w:t>
      </w:r>
      <w:r>
        <w:rPr/>
        <w:t>the bargain.</w:t>
      </w:r>
    </w:p>
    <w:p>
      <w:pPr>
        <w:pStyle w:val="BodyText"/>
        <w:spacing w:line="259" w:lineRule="auto" w:before="157"/>
        <w:ind w:right="234"/>
      </w:pPr>
      <w:r>
        <w:rPr/>
        <w:t>BLM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placed</w:t>
      </w:r>
      <w:r>
        <w:rPr>
          <w:spacing w:val="-1"/>
        </w:rPr>
        <w:t> </w:t>
      </w:r>
      <w:r>
        <w:rPr/>
        <w:t>the cart 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horse.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defer further action on this issue until that study is delivered to Congress as required and made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for public</w:t>
      </w:r>
      <w:r>
        <w:rPr>
          <w:spacing w:val="-1"/>
        </w:rPr>
        <w:t> </w:t>
      </w:r>
      <w:r>
        <w:rPr/>
        <w:t>review.</w:t>
      </w:r>
    </w:p>
    <w:p>
      <w:pPr>
        <w:pStyle w:val="BodyText"/>
        <w:spacing w:before="160"/>
      </w:pPr>
      <w:r>
        <w:rPr/>
        <w:t>Sincerely,</w:t>
      </w:r>
    </w:p>
    <w:p>
      <w:pPr>
        <w:pStyle w:val="BodyText"/>
        <w:spacing w:before="183"/>
      </w:pPr>
      <w:r>
        <w:rPr/>
        <w:t>/s/</w:t>
      </w:r>
    </w:p>
    <w:p>
      <w:pPr>
        <w:pStyle w:val="BodyText"/>
        <w:spacing w:before="182"/>
      </w:pPr>
      <w:r>
        <w:rPr/>
        <w:t>Patrick</w:t>
      </w:r>
      <w:r>
        <w:rPr>
          <w:spacing w:val="-2"/>
        </w:rPr>
        <w:t> </w:t>
      </w:r>
      <w:r>
        <w:rPr/>
        <w:t>Lavin</w:t>
      </w:r>
    </w:p>
    <w:p>
      <w:pPr>
        <w:pStyle w:val="BodyText"/>
        <w:spacing w:line="259" w:lineRule="auto" w:before="22"/>
        <w:ind w:right="7266"/>
      </w:pPr>
      <w:r>
        <w:rPr/>
        <w:t>Alaska Policy Advisor</w:t>
      </w:r>
      <w:r>
        <w:rPr>
          <w:spacing w:val="-58"/>
        </w:rPr>
        <w:t> </w:t>
      </w:r>
      <w:hyperlink r:id="rId8">
        <w:r>
          <w:rPr/>
          <w:t>plavin@defenders.org</w:t>
        </w:r>
      </w:hyperlink>
    </w:p>
    <w:sectPr>
      <w:pgSz w:w="12240" w:h="15840"/>
      <w:pgMar w:header="0" w:footer="1012" w:top="1360" w:bottom="120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90009pt;margin-top:730.400024pt;width:12.6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20" w:right="402" w:hanging="7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defenders.org/" TargetMode="External"/><Relationship Id="rId8" Type="http://schemas.openxmlformats.org/officeDocument/2006/relationships/hyperlink" Target="mailto:plavin@defenders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Lavin</dc:creator>
  <dcterms:created xsi:type="dcterms:W3CDTF">2021-07-12T17:50:55Z</dcterms:created>
  <dcterms:modified xsi:type="dcterms:W3CDTF">2021-07-12T17:50:55Z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2021-07-12T00:00:00Z</vt:filetime>
  </property>
</Properties>
</file>